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省级企业技术中心初评方法</w:t>
      </w:r>
    </w:p>
    <w:p>
      <w:pPr>
        <w:jc w:val="left"/>
        <w:rPr>
          <w:rFonts w:ascii="Times New Roman" w:hAnsi="Times New Roman" w:cs="Times New Roman"/>
          <w:b/>
          <w:sz w:val="30"/>
          <w:szCs w:val="30"/>
        </w:rPr>
      </w:pPr>
    </w:p>
    <w:p>
      <w:pPr>
        <w:widowControl/>
        <w:spacing w:line="540" w:lineRule="exact"/>
        <w:ind w:firstLine="600"/>
        <w:rPr>
          <w:rFonts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省级企业技术中心的初评按以下程序进行：</w:t>
      </w:r>
    </w:p>
    <w:p>
      <w:pPr>
        <w:widowControl/>
        <w:spacing w:line="540" w:lineRule="exact"/>
        <w:ind w:left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kern w:val="0"/>
          <w:sz w:val="30"/>
          <w:szCs w:val="30"/>
        </w:rPr>
        <w:t>一、基础数据处理</w:t>
      </w:r>
    </w:p>
    <w:p>
      <w:pPr>
        <w:widowControl/>
        <w:spacing w:line="540" w:lineRule="exact"/>
        <w:ind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在进行正式评价之前，根据《江苏省省级企业技术中心工作指南（试行）》（苏工信创新〔2020〕258号，以下简称《工作指南》）明确的各项指标解释，结合申请报告中的相关附件及证明材料，对企业技术中心提交的“江苏省省级企业技术中心评价数据表” 中各项数据值进行逐项核实，对证明材料缺失或无效的数据，按量予以核减，以最终的核定数据作为计算每项指标得分的依据。</w:t>
      </w:r>
    </w:p>
    <w:p>
      <w:pPr>
        <w:widowControl/>
        <w:spacing w:line="540" w:lineRule="exact"/>
        <w:ind w:left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kern w:val="0"/>
          <w:sz w:val="30"/>
          <w:szCs w:val="30"/>
        </w:rPr>
        <w:t>二、指标数值计算</w:t>
      </w:r>
    </w:p>
    <w:p>
      <w:pPr>
        <w:spacing w:line="540" w:lineRule="exact"/>
        <w:ind w:right="40"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在获得各项指标的核定数据后，可获得《江苏省省级企业技术中心评价指标体系》（见《工作指南》附件 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4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 第一部分）中各项指标的数值。其中，有 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7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 项指标的数值须通过计算获得。对于引入行业系数进行调节的“研发经费支出占主营业务收入的比重”、“新产品销售收入占主营业务收入的比重”、“新产品销售利润占利润总额的 比重”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3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 项指标，在计算获得原始指标数值后，再乘以本企业所在行业的行业系数（见《工作指南》附件 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4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>第三部分）作为计算相关指标得分的最终依据。</w:t>
      </w:r>
    </w:p>
    <w:p>
      <w:pPr>
        <w:spacing w:line="540" w:lineRule="exact"/>
        <w:ind w:left="600" w:right="40"/>
        <w:jc w:val="left"/>
        <w:rPr>
          <w:rFonts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以下是 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7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 项指标具体的计算方法： </w:t>
      </w:r>
    </w:p>
    <w:p>
      <w:pPr>
        <w:spacing w:line="540" w:lineRule="exact"/>
        <w:ind w:right="40"/>
        <w:jc w:val="left"/>
        <w:rPr>
          <w:rFonts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（一）“研发人员人均研发经费支出指标”数值，由“研究与试验发展经费支出”核定数据除以“研究与试验发展人员数”核定</w:t>
      </w:r>
      <w:bookmarkStart w:id="0" w:name="page2"/>
      <w:bookmarkEnd w:id="0"/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数据得到； </w:t>
      </w:r>
    </w:p>
    <w:p>
      <w:pPr>
        <w:spacing w:line="540" w:lineRule="exact"/>
        <w:ind w:right="160" w:firstLine="600" w:firstLineChars="2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（二）“研发经费支出占主营业务收入的比重”数值，由“研究与试验发展经费支出”核定数据除以“主营业务收入”核定数据， 再乘以本企业所在行业的行业系数得到；</w:t>
      </w:r>
    </w:p>
    <w:p>
      <w:pPr>
        <w:spacing w:line="540" w:lineRule="exact"/>
        <w:ind w:right="16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0"/>
          <w:sz w:val="30"/>
          <w:szCs w:val="30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（三）“研发人员占职工总数的比重”数值，由“研究与试验发展人员数”核定数据除以“企业职工总数”核定数据得到；</w:t>
      </w:r>
    </w:p>
    <w:p>
      <w:pPr>
        <w:spacing w:line="540" w:lineRule="exact"/>
        <w:ind w:firstLine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（四）“研发周期三年以上的项目数占全部研发项目数的比重” 数值，由“研发周期三年以上的项目数”核定数据除以“企业全部研发项目数”核定数据得到；</w:t>
      </w:r>
    </w:p>
    <w:p>
      <w:pPr>
        <w:spacing w:line="540" w:lineRule="exact"/>
        <w:ind w:right="160"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（五）“新产品销售收入占主营业务收入的比重”数值，由“新产品销售收入”核定数据除以“主营业务收入”核定数据，再乘以本企业所在行业的行业系数得到；</w:t>
      </w:r>
    </w:p>
    <w:p>
      <w:pPr>
        <w:spacing w:line="540" w:lineRule="exact"/>
        <w:ind w:right="160"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（六）“新产品销售利润占利润总额的比重”数值，由“新产品销售利润”核定数据除以“利润总额”核定数据，再乘以本企业所在行业的行业系数得到；</w:t>
      </w:r>
    </w:p>
    <w:p>
      <w:pPr>
        <w:widowControl/>
        <w:spacing w:line="540" w:lineRule="exact"/>
        <w:ind w:right="160"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（七）“利润率”数值，由“利润总额”核定数据除以“主营业务收入”核定数据得到。</w:t>
      </w:r>
    </w:p>
    <w:p>
      <w:pPr>
        <w:widowControl/>
        <w:spacing w:line="540" w:lineRule="exact"/>
        <w:ind w:left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kern w:val="0"/>
          <w:sz w:val="30"/>
          <w:szCs w:val="30"/>
        </w:rPr>
        <w:t>三、得分计算方法</w:t>
      </w:r>
    </w:p>
    <w:p>
      <w:pPr>
        <w:widowControl/>
        <w:spacing w:line="540" w:lineRule="exact"/>
        <w:ind w:firstLine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获得《江苏省省级企业技术中心评价指标体系》中各项指标的数值后，根据基本要求、满分要求以及相应的计算规则，计算出各项指标的得分，其总和就是该企业的评价得分。</w:t>
      </w:r>
    </w:p>
    <w:p>
      <w:pPr>
        <w:widowControl/>
        <w:spacing w:line="540" w:lineRule="exact"/>
        <w:ind w:left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楷体_GBK" w:cs="Times New Roman"/>
          <w:kern w:val="0"/>
          <w:sz w:val="30"/>
          <w:szCs w:val="30"/>
        </w:rPr>
        <w:t>（一）关于各项指标的基本要求和满分要求</w:t>
      </w:r>
    </w:p>
    <w:p>
      <w:pPr>
        <w:widowControl/>
        <w:spacing w:line="540" w:lineRule="exact"/>
        <w:ind w:right="160" w:firstLine="600"/>
        <w:jc w:val="left"/>
        <w:rPr>
          <w:rFonts w:ascii="Times New Roman" w:hAnsi="Times New Roman" w:eastAsia="方正仿宋_GBK" w:cs="Times New Roman"/>
          <w:kern w:val="0"/>
          <w:sz w:val="30"/>
          <w:szCs w:val="30"/>
        </w:rPr>
        <w:sectPr>
          <w:footerReference r:id="rId3" w:type="default"/>
          <w:pgSz w:w="11900" w:h="16838"/>
          <w:pgMar w:top="1440" w:right="1460" w:bottom="1129" w:left="1620" w:header="0" w:footer="0" w:gutter="0"/>
          <w:cols w:equalWidth="0" w:num="1">
            <w:col w:w="8820"/>
          </w:cols>
        </w:sect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各项指标的基本要求、满分要求，由已认定省级企业技术中心 历史数据测算得到，并根据江苏省企业技术中心创新发展总体情况进行动态调整。当前基本要求、满分要求的数值见下表。</w:t>
      </w:r>
    </w:p>
    <w:p>
      <w:pPr>
        <w:widowControl/>
        <w:spacing w:line="540" w:lineRule="exact"/>
        <w:jc w:val="left"/>
        <w:rPr>
          <w:rFonts w:ascii="Times New Roman" w:hAnsi="Times New Roman" w:eastAsia="宋体" w:cs="Times New Roman"/>
          <w:kern w:val="0"/>
          <w:sz w:val="30"/>
          <w:szCs w:val="30"/>
        </w:rPr>
        <w:sectPr>
          <w:type w:val="continuous"/>
          <w:pgSz w:w="11900" w:h="16838"/>
          <w:pgMar w:top="1440" w:right="9440" w:bottom="1129" w:left="1620" w:header="0" w:footer="0" w:gutter="0"/>
          <w:cols w:equalWidth="0" w:num="1">
            <w:col w:w="840"/>
          </w:cols>
        </w:sectPr>
      </w:pPr>
    </w:p>
    <w:p>
      <w:pPr>
        <w:widowControl/>
        <w:ind w:left="2160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  <w:bookmarkStart w:id="1" w:name="page3"/>
      <w:bookmarkEnd w:id="1"/>
      <w:r>
        <w:rPr>
          <w:rFonts w:ascii="Times New Roman" w:hAnsi="Times New Roman" w:eastAsia="方正楷体_GBK" w:cs="Times New Roman"/>
          <w:kern w:val="0"/>
          <w:sz w:val="28"/>
          <w:szCs w:val="28"/>
        </w:rPr>
        <w:t>附表 各项指标基本要求和满分要求</w:t>
      </w:r>
    </w:p>
    <w:p>
      <w:pPr>
        <w:widowControl/>
        <w:spacing w:line="179" w:lineRule="exact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66"/>
        <w:gridCol w:w="565"/>
        <w:gridCol w:w="4189"/>
        <w:gridCol w:w="840"/>
        <w:gridCol w:w="504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指标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指标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三级指标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基本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满分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投入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经费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 研发人员人均研发经费支出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万元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 研发经费支出占主营业务收入的比重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创新人才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3. 研发人员占企业职工总数的比重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4. 技术中心拥有的高级专家和博士人数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人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5. 来技术中心从事研发工作的外聘专家人数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人月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条件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技术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积累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6. 企业拥有的全部有效专利数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7. 企业拥有的全部有效发明专利数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8. 企业全部研发项目数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9. 研发周期三年以上的项目数占全部研发项目数的比重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平台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10.企业技术开发仪器设备原值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万元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11.省级以上研发平台数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分档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12.通过国家（国际组织）、省认证的实验室和检测机构数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绩效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技术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产出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13.当年被受理的专利申请数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14.当年被受理的发明专利申请数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15.最近三年主持和参加制定的国际、国家、行业和团体标准数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创新效益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16.新产品销售收入占主营业务收入的比重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17.新产品销售利润占利润总额的比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18.销售利润率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加分项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19.获国家和省科技奖励项目数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≤2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分档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2"/>
        </w:rPr>
        <w:sectPr>
          <w:pgSz w:w="11900" w:h="16838"/>
          <w:pgMar w:top="1440" w:right="1700" w:bottom="1440" w:left="1620" w:header="0" w:footer="0" w:gutter="0"/>
          <w:cols w:equalWidth="0" w:num="1">
            <w:col w:w="8580"/>
          </w:cols>
        </w:sectPr>
      </w:pPr>
    </w:p>
    <w:p>
      <w:pPr>
        <w:overflowPunct w:val="0"/>
        <w:snapToGrid w:val="0"/>
        <w:ind w:firstLine="482"/>
        <w:jc w:val="left"/>
        <w:rPr>
          <w:rFonts w:ascii="Times New Roman" w:hAnsi="Times New Roman" w:eastAsia="方正仿宋_GBK" w:cs="Times New Roman"/>
          <w:b/>
          <w:sz w:val="24"/>
          <w:szCs w:val="44"/>
        </w:rPr>
      </w:pPr>
      <w:r>
        <w:rPr>
          <w:rFonts w:ascii="Times New Roman" w:hAnsi="Times New Roman" w:eastAsia="方正仿宋_GBK" w:cs="Times New Roman"/>
          <w:b/>
          <w:sz w:val="24"/>
          <w:szCs w:val="44"/>
        </w:rPr>
        <w:t>指标说明：</w:t>
      </w:r>
    </w:p>
    <w:p>
      <w:pPr>
        <w:overflowPunct w:val="0"/>
        <w:snapToGrid w:val="0"/>
        <w:ind w:firstLine="482"/>
        <w:jc w:val="left"/>
        <w:rPr>
          <w:rFonts w:ascii="Times New Roman" w:hAnsi="Times New Roman" w:eastAsia="方正楷体_GBK" w:cs="Times New Roman"/>
          <w:b/>
          <w:kern w:val="0"/>
          <w:sz w:val="24"/>
          <w:szCs w:val="28"/>
        </w:rPr>
      </w:pPr>
      <w:r>
        <w:rPr>
          <w:rFonts w:ascii="Times New Roman" w:hAnsi="Times New Roman" w:eastAsia="方正楷体_GBK" w:cs="Times New Roman"/>
          <w:b/>
          <w:kern w:val="0"/>
          <w:sz w:val="24"/>
          <w:szCs w:val="28"/>
        </w:rPr>
        <w:t>11.省级以上研发平台数：</w:t>
      </w:r>
      <w:r>
        <w:rPr>
          <w:rFonts w:ascii="Times New Roman" w:hAnsi="Times New Roman" w:eastAsia="方正仿宋_GBK" w:cs="Times New Roman"/>
          <w:kern w:val="0"/>
          <w:sz w:val="24"/>
          <w:szCs w:val="28"/>
        </w:rPr>
        <w:t>企业获国家级研发平台数，每个加2分；获江苏省级研发平台数，每个加1分。</w:t>
      </w:r>
    </w:p>
    <w:p>
      <w:pPr>
        <w:overflowPunct w:val="0"/>
        <w:snapToGrid w:val="0"/>
        <w:ind w:firstLine="482"/>
        <w:rPr>
          <w:rFonts w:ascii="Times New Roman" w:hAnsi="Times New Roman" w:eastAsia="方正仿宋_GBK" w:cs="Times New Roman"/>
          <w:kern w:val="0"/>
          <w:sz w:val="24"/>
          <w:szCs w:val="28"/>
        </w:rPr>
      </w:pPr>
      <w:r>
        <w:rPr>
          <w:rFonts w:ascii="Times New Roman" w:hAnsi="Times New Roman" w:eastAsia="方正楷体_GBK" w:cs="Times New Roman"/>
          <w:b/>
          <w:kern w:val="0"/>
          <w:sz w:val="24"/>
          <w:szCs w:val="28"/>
        </w:rPr>
        <w:t>17.新产品销售利润占利润总额的比重：</w:t>
      </w:r>
      <w:r>
        <w:rPr>
          <w:rFonts w:ascii="Times New Roman" w:hAnsi="Times New Roman" w:eastAsia="方正仿宋_GBK" w:cs="Times New Roman"/>
          <w:kern w:val="0"/>
          <w:sz w:val="24"/>
          <w:szCs w:val="28"/>
        </w:rPr>
        <w:t>当新产品销售利润≤0时，该项得分为0分；当新产品销售利润＞0且利润总额≤0时，该项得分为6分；其他情况按照指标得分计算规则评分。</w:t>
      </w:r>
    </w:p>
    <w:p>
      <w:pPr>
        <w:overflowPunct w:val="0"/>
        <w:snapToGrid w:val="0"/>
        <w:ind w:firstLine="482"/>
        <w:rPr>
          <w:rFonts w:ascii="Times New Roman" w:hAnsi="Times New Roman" w:eastAsia="方正仿宋_GBK" w:cs="Times New Roman"/>
          <w:kern w:val="0"/>
          <w:sz w:val="24"/>
          <w:szCs w:val="28"/>
        </w:rPr>
      </w:pPr>
      <w:r>
        <w:rPr>
          <w:rFonts w:ascii="Times New Roman" w:hAnsi="Times New Roman" w:eastAsia="方正楷体_GBK" w:cs="Times New Roman"/>
          <w:b/>
          <w:kern w:val="0"/>
          <w:sz w:val="24"/>
          <w:szCs w:val="28"/>
        </w:rPr>
        <w:t>18.销售利润率：</w:t>
      </w:r>
      <w:r>
        <w:rPr>
          <w:rFonts w:ascii="Times New Roman" w:hAnsi="Times New Roman" w:eastAsia="方正仿宋_GBK" w:cs="Times New Roman"/>
          <w:kern w:val="0"/>
          <w:sz w:val="24"/>
          <w:szCs w:val="28"/>
        </w:rPr>
        <w:t>当利润总额≤0时，该项得分为0分；其他情况按照指标得分计算规则评分。</w:t>
      </w:r>
    </w:p>
    <w:p>
      <w:pPr>
        <w:overflowPunct w:val="0"/>
        <w:snapToGrid w:val="0"/>
        <w:ind w:firstLine="482"/>
        <w:rPr>
          <w:rFonts w:ascii="Times New Roman" w:hAnsi="Times New Roman" w:eastAsia="方正仿宋_GBK" w:cs="Times New Roman"/>
          <w:kern w:val="0"/>
          <w:sz w:val="24"/>
          <w:szCs w:val="28"/>
        </w:rPr>
      </w:pPr>
      <w:r>
        <w:rPr>
          <w:rFonts w:ascii="Times New Roman" w:hAnsi="Times New Roman" w:eastAsia="方正楷体_GBK" w:cs="Times New Roman"/>
          <w:b/>
          <w:kern w:val="0"/>
          <w:sz w:val="24"/>
          <w:szCs w:val="28"/>
        </w:rPr>
        <w:t>19.获国家和省科技奖励项目数：</w:t>
      </w:r>
      <w:r>
        <w:rPr>
          <w:rFonts w:ascii="Times New Roman" w:hAnsi="Times New Roman" w:eastAsia="方正仿宋_GBK" w:cs="Times New Roman"/>
          <w:kern w:val="0"/>
          <w:sz w:val="24"/>
          <w:szCs w:val="28"/>
        </w:rPr>
        <w:t>企业作为主要完成单位或企业员工作为主要完成人获国家科技奖励，加2分；获江苏省科技奖励，每项加1分。</w:t>
      </w:r>
    </w:p>
    <w:p>
      <w:pPr>
        <w:widowControl/>
        <w:rPr>
          <w:rFonts w:ascii="Times New Roman" w:hAnsi="Times New Roman" w:eastAsia="宋体" w:cs="Times New Roman"/>
        </w:rPr>
      </w:pPr>
    </w:p>
    <w:p>
      <w:pPr>
        <w:widowControl/>
        <w:spacing w:line="239" w:lineRule="auto"/>
        <w:ind w:left="600"/>
        <w:jc w:val="left"/>
        <w:rPr>
          <w:rFonts w:ascii="Times New Roman" w:hAnsi="Times New Roman" w:eastAsia="方正楷体_GBK" w:cs="Times New Roman"/>
          <w:kern w:val="0"/>
          <w:sz w:val="30"/>
          <w:szCs w:val="30"/>
        </w:rPr>
      </w:pPr>
      <w:r>
        <w:rPr>
          <w:rFonts w:ascii="Times New Roman" w:hAnsi="Times New Roman" w:eastAsia="方正楷体_GBK" w:cs="Times New Roman"/>
          <w:kern w:val="0"/>
          <w:sz w:val="30"/>
          <w:szCs w:val="30"/>
        </w:rPr>
        <w:t>(二)指标得分计算规则</w:t>
      </w:r>
    </w:p>
    <w:p>
      <w:pPr>
        <w:widowControl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napToGrid w:val="0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drawing>
          <wp:inline distT="0" distB="0" distL="0" distR="0">
            <wp:extent cx="4648200" cy="2649855"/>
            <wp:effectExtent l="0" t="0" r="0" b="0"/>
            <wp:docPr id="1" name="图片 1" descr="C:\Users\ZhangHui\AppData\Local\Temp\15691626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angHui\AppData\Local\Temp\1569162627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51" cy="26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jc w:val="center"/>
        <w:rPr>
          <w:rFonts w:ascii="Times New Roman" w:hAnsi="Times New Roman" w:eastAsia="方正黑体_GBK" w:cs="Times New Roman"/>
          <w:b/>
          <w:sz w:val="28"/>
          <w:szCs w:val="28"/>
        </w:rPr>
      </w:pPr>
      <w:r>
        <w:rPr>
          <w:rFonts w:ascii="Times New Roman" w:hAnsi="Times New Roman" w:eastAsia="方正黑体_GBK" w:cs="Times New Roman"/>
          <w:kern w:val="0"/>
          <w:sz w:val="28"/>
          <w:szCs w:val="28"/>
        </w:rPr>
        <w:t>分段线性插值算法示意图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1．指标数值大于或等于满分要求时，指标得分为满分，即指标得分等于上表中的权重；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2．指标数值等于基本要求时，指标得分为权重的60%；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3．指标数值为0 时，指标得分为0；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4．指标数值处于0 和基本要求之间时，指标得分按线性插值的方法计算，具体计算公式为：</w:t>
      </w:r>
    </w:p>
    <w:p>
      <w:pPr>
        <w:widowControl/>
        <w:snapToGrid w:val="0"/>
        <w:jc w:val="center"/>
        <w:rPr>
          <w:rFonts w:ascii="Times New Roman" w:hAnsi="Times New Roman" w:eastAsia="方正黑体_GBK" w:cs="Times New Roman"/>
          <w:kern w:val="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eastAsia="方正黑体_GBK" w:cs="Times New Roman"/>
              <w:kern w:val="0"/>
              <w:sz w:val="28"/>
              <w:szCs w:val="28"/>
            </w:rPr>
            <m:t>指标得分=</m:t>
          </m:r>
          <m:f>
            <m:fP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指标数值</m:t>
              </m: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基本要求</m:t>
              </m: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方正黑体_GBK" w:cs="Times New Roman"/>
              <w:kern w:val="0"/>
              <w:sz w:val="28"/>
              <w:szCs w:val="28"/>
            </w:rPr>
            <m:t>×权重的60%</m:t>
          </m:r>
        </m:oMath>
      </m:oMathPara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5．指标数值处于基本要求和满分要求之间时，指标得分按线性插值的方法计算，具体计算公式为：</w:t>
      </w:r>
    </w:p>
    <w:p>
      <w:pPr>
        <w:widowControl/>
        <w:snapToGrid w:val="0"/>
        <w:jc w:val="center"/>
        <w:rPr>
          <w:rFonts w:ascii="Times New Roman" w:hAnsi="Times New Roman" w:eastAsia="方正仿宋_GBK" w:cs="Times New Roman"/>
          <w:kern w:val="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eastAsia="方正黑体_GBK" w:cs="Times New Roman"/>
              <w:kern w:val="0"/>
              <w:sz w:val="28"/>
              <w:szCs w:val="28"/>
            </w:rPr>
            <m:t>指标得分=</m:t>
          </m:r>
          <m:f>
            <m:fP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指标数值</m:t>
              </m:r>
              <m:r>
                <m:rPr>
                  <m:sty m:val="p"/>
                </m:rPr>
                <w:rPr>
                  <w:rFonts w:ascii="Cambria Math" w:hAnsi="Cambria Math" w:eastAsia="微软雅黑" w:cs="Times New Roman"/>
                  <w:kern w:val="0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基本要求</m:t>
              </m: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满分要求</m:t>
              </m:r>
              <m:r>
                <m:rPr>
                  <m:sty m:val="p"/>
                </m:rPr>
                <w:rPr>
                  <w:rFonts w:ascii="Cambria Math" w:hAnsi="Cambria Math" w:eastAsia="微软雅黑" w:cs="Times New Roman"/>
                  <w:kern w:val="0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基本要求</m:t>
              </m: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方正黑体_GBK" w:cs="Times New Roman"/>
              <w:kern w:val="0"/>
              <w:sz w:val="28"/>
              <w:szCs w:val="28"/>
            </w:rPr>
            <m:t>×权重的40%+权重的60%</m:t>
          </m:r>
        </m:oMath>
      </m:oMathPara>
    </w:p>
    <w:p>
      <w:pPr>
        <w:widowControl/>
        <w:snapToGrid w:val="0"/>
        <w:spacing w:line="360" w:lineRule="auto"/>
        <w:ind w:left="944" w:leftChars="271" w:hanging="375" w:hangingChars="134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line="239" w:lineRule="auto"/>
        <w:ind w:left="600"/>
        <w:jc w:val="left"/>
        <w:rPr>
          <w:rFonts w:ascii="Times New Roman" w:hAnsi="Times New Roman" w:eastAsia="方正楷体_GBK" w:cs="Times New Roman"/>
          <w:kern w:val="0"/>
          <w:sz w:val="30"/>
          <w:szCs w:val="30"/>
        </w:rPr>
      </w:pPr>
      <w:r>
        <w:rPr>
          <w:rFonts w:ascii="Times New Roman" w:hAnsi="Times New Roman" w:eastAsia="方正楷体_GBK" w:cs="Times New Roman"/>
          <w:kern w:val="0"/>
          <w:sz w:val="30"/>
          <w:szCs w:val="30"/>
        </w:rPr>
        <w:t>(三)《评价指标体系》行业系数</w:t>
      </w:r>
    </w:p>
    <w:p>
      <w:pPr>
        <w:widowControl/>
        <w:snapToGrid w:val="0"/>
        <w:ind w:firstLine="560" w:firstLineChars="200"/>
        <w:jc w:val="left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4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551"/>
        <w:gridCol w:w="2556"/>
        <w:gridCol w:w="2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left="-111" w:leftChars="-53" w:right="-101" w:rightChars="-48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研发经费支出额占产品销售收入的比重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left="-111" w:leftChars="-53" w:right="-101" w:rightChars="-48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新产品销售收入占产品销售收入的比重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left="-111" w:leftChars="-53" w:right="-101" w:rightChars="-48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新产品销售利润占产品销售利润的比重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63"/>
              </w:tabs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电子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轻工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轻工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化工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机械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医药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冶金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1.2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纺织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建材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有色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1.4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石化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1.2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1.2</w:t>
            </w:r>
          </w:p>
        </w:tc>
      </w:tr>
    </w:tbl>
    <w:p>
      <w:pPr>
        <w:widowControl/>
        <w:snapToGrid w:val="0"/>
        <w:rPr>
          <w:rFonts w:ascii="Times New Roman" w:hAnsi="Times New Roman" w:eastAsia="宋体" w:cs="Times New Roman"/>
          <w:b/>
          <w:kern w:val="0"/>
          <w:sz w:val="11"/>
          <w:szCs w:val="11"/>
        </w:rPr>
      </w:pPr>
    </w:p>
    <w:p>
      <w:pPr>
        <w:widowControl/>
        <w:snapToGrid w:val="0"/>
        <w:spacing w:line="360" w:lineRule="auto"/>
        <w:ind w:left="850" w:hanging="850" w:hangingChars="403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说明：</w:t>
      </w:r>
      <w:r>
        <w:rPr>
          <w:rFonts w:ascii="Times New Roman" w:hAnsi="Times New Roman" w:eastAsia="宋体" w:cs="Times New Roman"/>
          <w:kern w:val="0"/>
          <w:szCs w:val="21"/>
        </w:rPr>
        <w:t>1．由于不同行业在研发投入与产出方面存在较大差异，技术中心评价时，对不同行业企业“研发经费支出占主营业务收入的比重”、“新产品销售收入占主营业务收入的比重”、“新产品销售利润占利润总额的比重”三个指标引入行业系数加以调节。</w:t>
      </w:r>
    </w:p>
    <w:p>
      <w:pPr>
        <w:widowControl/>
        <w:snapToGrid w:val="0"/>
        <w:spacing w:line="360" w:lineRule="auto"/>
        <w:ind w:left="850" w:leftChars="271" w:hanging="281" w:hangingChars="134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2．企业填报数据表时无需考虑行业系数，按实际数据填报。评价时，根据企业填报的实际数据计算得出上述指标的比重，再乘以行业系数，得出指标的评价值。</w:t>
      </w:r>
    </w:p>
    <w:p>
      <w:pPr>
        <w:widowControl/>
        <w:snapToGrid w:val="0"/>
        <w:spacing w:line="360" w:lineRule="auto"/>
        <w:ind w:left="850" w:leftChars="271" w:hanging="281" w:hangingChars="134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3．轻工</w:t>
      </w:r>
      <w:r>
        <w:rPr>
          <w:rFonts w:hint="eastAsia" w:ascii="宋体" w:hAnsi="宋体" w:eastAsia="宋体" w:cs="宋体"/>
          <w:kern w:val="0"/>
          <w:szCs w:val="21"/>
        </w:rPr>
        <w:t>Ⅰ</w:t>
      </w:r>
      <w:r>
        <w:rPr>
          <w:rFonts w:ascii="Times New Roman" w:hAnsi="Times New Roman" w:eastAsia="宋体" w:cs="Times New Roman"/>
          <w:kern w:val="0"/>
          <w:szCs w:val="21"/>
        </w:rPr>
        <w:t>为家电行业，轻工</w:t>
      </w:r>
      <w:r>
        <w:rPr>
          <w:rFonts w:hint="eastAsia" w:ascii="宋体" w:hAnsi="宋体" w:eastAsia="宋体" w:cs="宋体"/>
          <w:kern w:val="0"/>
          <w:szCs w:val="21"/>
        </w:rPr>
        <w:t>Ⅱ</w:t>
      </w:r>
      <w:r>
        <w:rPr>
          <w:rFonts w:ascii="Times New Roman" w:hAnsi="Times New Roman" w:eastAsia="宋体" w:cs="Times New Roman"/>
          <w:kern w:val="0"/>
          <w:szCs w:val="21"/>
        </w:rPr>
        <w:t>为轻工的其他行业。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898058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4"/>
    <w:rsid w:val="000227AF"/>
    <w:rsid w:val="000E6162"/>
    <w:rsid w:val="00226B68"/>
    <w:rsid w:val="00247D5E"/>
    <w:rsid w:val="00272D48"/>
    <w:rsid w:val="00505442"/>
    <w:rsid w:val="00534C17"/>
    <w:rsid w:val="00557F64"/>
    <w:rsid w:val="005926FA"/>
    <w:rsid w:val="006C59EA"/>
    <w:rsid w:val="006E7810"/>
    <w:rsid w:val="006F4179"/>
    <w:rsid w:val="00773F9C"/>
    <w:rsid w:val="0098429B"/>
    <w:rsid w:val="009C5A6C"/>
    <w:rsid w:val="00A51B02"/>
    <w:rsid w:val="00AE4F14"/>
    <w:rsid w:val="00B02153"/>
    <w:rsid w:val="00B14A04"/>
    <w:rsid w:val="00D67407"/>
    <w:rsid w:val="00E263B4"/>
    <w:rsid w:val="00E279A7"/>
    <w:rsid w:val="00E32194"/>
    <w:rsid w:val="00FE0230"/>
    <w:rsid w:val="044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2403</Characters>
  <Lines>20</Lines>
  <Paragraphs>5</Paragraphs>
  <TotalTime>1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2021-05-31T01:50:00Z</dcterms:created>
  <dc:creator>PC</dc:creator>
  <cp:lastModifiedBy>bgs</cp:lastModifiedBy>
  <dcterms:modified xsi:type="dcterms:W3CDTF">2021-06-02T03:36:35Z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